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4725"/>
        </w:tabs>
        <w:spacing w:after="0" w:before="120" w:lineRule="auto"/>
        <w:ind w:left="-360" w:firstLine="0"/>
        <w:jc w:val="center"/>
        <w:rPr>
          <w:rFonts w:ascii="Calibri" w:cs="Calibri" w:eastAsia="Calibri" w:hAnsi="Calibri"/>
          <w:color w:val="006599"/>
          <w:sz w:val="36"/>
          <w:szCs w:val="36"/>
        </w:rPr>
      </w:pPr>
      <w:r w:rsidDel="00000000" w:rsidR="00000000" w:rsidRPr="00000000">
        <w:rPr>
          <w:rFonts w:ascii="Calibri" w:cs="Calibri" w:eastAsia="Calibri" w:hAnsi="Calibri"/>
          <w:color w:val="006599"/>
          <w:sz w:val="36"/>
          <w:szCs w:val="36"/>
          <w:rtl w:val="0"/>
        </w:rPr>
        <w:t xml:space="preserve">Uniform Data System (UDS)</w:t>
      </w:r>
    </w:p>
    <w:p w:rsidR="00000000" w:rsidDel="00000000" w:rsidP="00000000" w:rsidRDefault="00000000" w:rsidRPr="00000000" w14:paraId="00000002">
      <w:pPr>
        <w:pStyle w:val="Title"/>
        <w:tabs>
          <w:tab w:val="left" w:pos="4725"/>
        </w:tabs>
        <w:spacing w:after="0" w:before="0" w:lineRule="auto"/>
        <w:ind w:left="-360" w:firstLine="0"/>
        <w:jc w:val="center"/>
        <w:rPr>
          <w:rFonts w:ascii="Calibri" w:cs="Calibri" w:eastAsia="Calibri" w:hAnsi="Calibri"/>
          <w:color w:val="006599"/>
          <w:sz w:val="36"/>
          <w:szCs w:val="36"/>
        </w:rPr>
      </w:pPr>
      <w:r w:rsidDel="00000000" w:rsidR="00000000" w:rsidRPr="00000000">
        <w:rPr>
          <w:rFonts w:ascii="Calibri" w:cs="Calibri" w:eastAsia="Calibri" w:hAnsi="Calibri"/>
          <w:color w:val="006599"/>
          <w:sz w:val="36"/>
          <w:szCs w:val="36"/>
          <w:rtl w:val="0"/>
        </w:rPr>
        <w:t xml:space="preserve">Calendar Year 2022 Reporting</w:t>
      </w:r>
    </w:p>
    <w:p w:rsidR="00000000" w:rsidDel="00000000" w:rsidP="00000000" w:rsidRDefault="00000000" w:rsidRPr="00000000" w14:paraId="00000003">
      <w:pPr>
        <w:pStyle w:val="Title"/>
        <w:tabs>
          <w:tab w:val="left" w:pos="4725"/>
        </w:tabs>
        <w:spacing w:after="120" w:before="0" w:lineRule="auto"/>
        <w:ind w:left="-360" w:firstLine="0"/>
        <w:jc w:val="center"/>
        <w:rPr>
          <w:rFonts w:ascii="Calibri" w:cs="Calibri" w:eastAsia="Calibri" w:hAnsi="Calibri"/>
          <w:color w:val="006599"/>
          <w:sz w:val="36"/>
          <w:szCs w:val="36"/>
        </w:rPr>
      </w:pPr>
      <w:r w:rsidDel="00000000" w:rsidR="00000000" w:rsidRPr="00000000">
        <w:rPr>
          <w:rFonts w:ascii="Calibri" w:cs="Calibri" w:eastAsia="Calibri" w:hAnsi="Calibri"/>
          <w:color w:val="006599"/>
          <w:sz w:val="36"/>
          <w:szCs w:val="36"/>
          <w:rtl w:val="0"/>
        </w:rPr>
        <w:t xml:space="preserve">Annual Training Contents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6599"/>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materials for calendar year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are available as separate files and/or links provided to the Primary Care Associat</w:t>
      </w:r>
      <w:r w:rsidDel="00000000" w:rsidR="00000000" w:rsidRPr="00000000">
        <w:rPr>
          <w:rFonts w:ascii="Calibri" w:cs="Calibri" w:eastAsia="Calibri" w:hAnsi="Calibri"/>
          <w:rtl w:val="0"/>
        </w:rPr>
        <w:t xml:space="preserve">ion</w:t>
      </w:r>
      <w:r w:rsidDel="00000000" w:rsidR="00000000" w:rsidRPr="00000000">
        <w:rPr>
          <w:rFonts w:ascii="Calibri" w:cs="Calibri" w:eastAsia="Calibri" w:hAnsi="Calibri"/>
          <w:color w:val="000000"/>
          <w:rtl w:val="0"/>
        </w:rPr>
        <w:t xml:space="preserve"> and UDS training participants in one ZIP folder organized by category as shown below. </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color w:val="000000"/>
          <w:rtl w:val="0"/>
        </w:rPr>
        <w:t xml:space="preserve">Individual files are available on the Health Resources &amp; Services Administration, Health Center Program, </w:t>
      </w:r>
      <w:hyperlink r:id="rId7">
        <w:r w:rsidDel="00000000" w:rsidR="00000000" w:rsidRPr="00000000">
          <w:rPr>
            <w:rFonts w:ascii="Calibri" w:cs="Calibri" w:eastAsia="Calibri" w:hAnsi="Calibri"/>
            <w:color w:val="1155cc"/>
            <w:u w:val="single"/>
            <w:rtl w:val="0"/>
          </w:rPr>
          <w:t xml:space="preserve">Uniform Data System (UDS) Resources</w:t>
        </w:r>
      </w:hyperlink>
      <w:r w:rsidDel="00000000" w:rsidR="00000000" w:rsidRPr="00000000">
        <w:rPr>
          <w:rFonts w:ascii="Calibri" w:cs="Calibri" w:eastAsia="Calibri" w:hAnsi="Calibri"/>
          <w:color w:val="000000"/>
          <w:rtl w:val="0"/>
        </w:rPr>
        <w:t xml:space="preserve"> webpage, and can be accessed at any time using the links below. To ease access to materials mentioned throughout the training, participants can refer back to this page to obtain direct access links, when available. </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color w:val="000000"/>
          <w:rtl w:val="0"/>
        </w:rPr>
        <w:t xml:space="preserve">Items with an asterisk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below are included in the training ZIP folder</w:t>
      </w:r>
      <w:r w:rsidDel="00000000" w:rsidR="00000000" w:rsidRPr="00000000">
        <w:rPr>
          <w:rFonts w:ascii="Calibri" w:cs="Calibri" w:eastAsia="Calibri" w:hAnsi="Calibri"/>
          <w:rtl w:val="0"/>
        </w:rPr>
        <w:t xml:space="preserve">; these items are in numbered order corresponding with the order they are listed here.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6599"/>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Fonts w:ascii="Calibri" w:cs="Calibri" w:eastAsia="Calibri" w:hAnsi="Calibri"/>
          <w:b w:val="1"/>
          <w:color w:val="006599"/>
          <w:sz w:val="28"/>
          <w:szCs w:val="28"/>
          <w:rtl w:val="0"/>
        </w:rPr>
        <w:t xml:space="preserve">Logistics</w:t>
      </w:r>
      <w:r w:rsidDel="00000000" w:rsidR="00000000" w:rsidRPr="00000000">
        <w:rPr>
          <w:rtl w:val="0"/>
        </w:rPr>
      </w:r>
    </w:p>
    <w:p w:rsidR="00000000" w:rsidDel="00000000" w:rsidP="00000000" w:rsidRDefault="00000000" w:rsidRPr="00000000" w14:paraId="0000000A">
      <w:pPr>
        <w:numPr>
          <w:ilvl w:val="0"/>
          <w:numId w:val="5"/>
        </w:numPr>
        <w:spacing w:after="0" w:lineRule="auto"/>
        <w:ind w:left="720" w:hanging="360"/>
        <w:rPr>
          <w:rFonts w:ascii="Calibri" w:cs="Calibri" w:eastAsia="Calibri" w:hAnsi="Calibri"/>
          <w:i w:val="1"/>
        </w:rPr>
      </w:pPr>
      <w:hyperlink r:id="rId8">
        <w:r w:rsidDel="00000000" w:rsidR="00000000" w:rsidRPr="00000000">
          <w:rPr>
            <w:rFonts w:ascii="Calibri" w:cs="Calibri" w:eastAsia="Calibri" w:hAnsi="Calibri"/>
            <w:color w:val="1155cc"/>
            <w:u w:val="single"/>
            <w:rtl w:val="0"/>
          </w:rPr>
          <w:t xml:space="preserve">UDS Acronyms Used</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numPr>
          <w:ilvl w:val="1"/>
          <w:numId w:val="5"/>
        </w:numPr>
        <w:spacing w:after="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Link opens to comprehensive list in UDS Manual, Appendix I, beginning on Page 201.</w:t>
      </w:r>
    </w:p>
    <w:p w:rsidR="00000000" w:rsidDel="00000000" w:rsidP="00000000" w:rsidRDefault="00000000" w:rsidRPr="00000000" w14:paraId="0000000C">
      <w:pPr>
        <w:numPr>
          <w:ilvl w:val="0"/>
          <w:numId w:val="5"/>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2022 Training Agenda*</w:t>
      </w:r>
    </w:p>
    <w:p w:rsidR="00000000" w:rsidDel="00000000" w:rsidP="00000000" w:rsidRDefault="00000000" w:rsidRPr="00000000" w14:paraId="0000000D">
      <w:pPr>
        <w:numPr>
          <w:ilvl w:val="0"/>
          <w:numId w:val="5"/>
        </w:numPr>
        <w:spacing w:after="0" w:lineRule="auto"/>
        <w:ind w:left="720" w:hanging="36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2022 UDS Training Evaluation </w:t>
        </w:r>
      </w:hyperlink>
      <w:hyperlink r:id="rId10">
        <w:r w:rsidDel="00000000" w:rsidR="00000000" w:rsidRPr="00000000">
          <w:rPr>
            <w:rFonts w:ascii="Calibri" w:cs="Calibri" w:eastAsia="Calibri" w:hAnsi="Calibri"/>
            <w:color w:val="1155cc"/>
            <w:u w:val="single"/>
            <w:rtl w:val="0"/>
          </w:rPr>
          <w:t xml:space="preserve">Link</w:t>
        </w:r>
      </w:hyperlink>
      <w:r w:rsidDel="00000000" w:rsidR="00000000" w:rsidRPr="00000000">
        <w:rPr>
          <w:rFonts w:ascii="Calibri" w:cs="Calibri" w:eastAsia="Calibri" w:hAnsi="Calibri"/>
          <w:rtl w:val="0"/>
        </w:rPr>
        <w:t xml:space="preserve">: Instructions and link are also in Training ZIP folder*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6599"/>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32"/>
          <w:szCs w:val="32"/>
        </w:rPr>
      </w:pPr>
      <w:r w:rsidDel="00000000" w:rsidR="00000000" w:rsidRPr="00000000">
        <w:rPr>
          <w:rFonts w:ascii="Calibri" w:cs="Calibri" w:eastAsia="Calibri" w:hAnsi="Calibri"/>
          <w:b w:val="1"/>
          <w:color w:val="006599"/>
          <w:sz w:val="28"/>
          <w:szCs w:val="28"/>
          <w:rtl w:val="0"/>
        </w:rPr>
        <w:t xml:space="preserve">Training – Chapters by Section</w:t>
      </w:r>
      <w:r w:rsidDel="00000000" w:rsidR="00000000" w:rsidRPr="00000000">
        <w:rPr>
          <w:rtl w:val="0"/>
        </w:rPr>
      </w:r>
    </w:p>
    <w:p w:rsidR="00000000" w:rsidDel="00000000" w:rsidP="00000000" w:rsidRDefault="00000000" w:rsidRPr="00000000" w14:paraId="00000010">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 2022 UDS Annual Training Presentation Slide Deck*, which includes:</w:t>
      </w:r>
    </w:p>
    <w:p w:rsidR="00000000" w:rsidDel="00000000" w:rsidP="00000000" w:rsidRDefault="00000000" w:rsidRPr="00000000" w14:paraId="00000011">
      <w:pPr>
        <w:numPr>
          <w:ilvl w:val="1"/>
          <w:numId w:val="2"/>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Overview: Who, What, Where, When, and Why of the UDS (Slides 1-16)</w:t>
      </w:r>
    </w:p>
    <w:p w:rsidR="00000000" w:rsidDel="00000000" w:rsidP="00000000" w:rsidRDefault="00000000" w:rsidRPr="00000000" w14:paraId="00000012">
      <w:pPr>
        <w:numPr>
          <w:ilvl w:val="1"/>
          <w:numId w:val="2"/>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Patient Profile: ZIP Code Table, Tables 3A, 3B, and 4 (Slides 18-33)</w:t>
      </w:r>
    </w:p>
    <w:p w:rsidR="00000000" w:rsidDel="00000000" w:rsidP="00000000" w:rsidRDefault="00000000" w:rsidRPr="00000000" w14:paraId="00000013">
      <w:pPr>
        <w:numPr>
          <w:ilvl w:val="1"/>
          <w:numId w:val="2"/>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Clinical Services and Outcomes: Tables 5, 6A, 6B, and 7 (Slides 34-94)</w:t>
      </w:r>
    </w:p>
    <w:p w:rsidR="00000000" w:rsidDel="00000000" w:rsidP="00000000" w:rsidRDefault="00000000" w:rsidRPr="00000000" w14:paraId="00000014">
      <w:pPr>
        <w:numPr>
          <w:ilvl w:val="1"/>
          <w:numId w:val="2"/>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Financials: Tables 8A, 9D, and 9E (Slides 95-126)</w:t>
      </w:r>
    </w:p>
    <w:p w:rsidR="00000000" w:rsidDel="00000000" w:rsidP="00000000" w:rsidRDefault="00000000" w:rsidRPr="00000000" w14:paraId="00000015">
      <w:pPr>
        <w:numPr>
          <w:ilvl w:val="1"/>
          <w:numId w:val="2"/>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Other Forms: Health Information Technology, Other Data Elements, and Workforce (Slides 128-134)</w:t>
      </w:r>
    </w:p>
    <w:p w:rsidR="00000000" w:rsidDel="00000000" w:rsidP="00000000" w:rsidRDefault="00000000" w:rsidRPr="00000000" w14:paraId="00000016">
      <w:pPr>
        <w:numPr>
          <w:ilvl w:val="1"/>
          <w:numId w:val="2"/>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Setting up for Success (Slides 135-145)</w:t>
      </w: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Two PDFs of slides are provided in the ZIP folder of supplemental materials: one with full page slides (3), one with three slides to a page, with space to take notes (3a).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6599"/>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32"/>
          <w:szCs w:val="32"/>
        </w:rPr>
      </w:pPr>
      <w:r w:rsidDel="00000000" w:rsidR="00000000" w:rsidRPr="00000000">
        <w:rPr>
          <w:rFonts w:ascii="Calibri" w:cs="Calibri" w:eastAsia="Calibri" w:hAnsi="Calibri"/>
          <w:b w:val="1"/>
          <w:color w:val="006599"/>
          <w:sz w:val="28"/>
          <w:szCs w:val="28"/>
          <w:rtl w:val="0"/>
        </w:rPr>
        <w:t xml:space="preserve">Reporting Guidance Resource Files</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Reporting Requirements</w:t>
      </w:r>
    </w:p>
    <w:p w:rsidR="00000000" w:rsidDel="00000000" w:rsidP="00000000" w:rsidRDefault="00000000" w:rsidRPr="00000000" w14:paraId="0000001B">
      <w:pPr>
        <w:numPr>
          <w:ilvl w:val="0"/>
          <w:numId w:val="7"/>
        </w:numPr>
        <w:spacing w:after="0" w:lineRule="auto"/>
        <w:ind w:left="720" w:hanging="36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2022 UDS Manual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C">
      <w:pPr>
        <w:numPr>
          <w:ilvl w:val="0"/>
          <w:numId w:val="7"/>
        </w:numPr>
        <w:spacing w:after="0" w:lineRule="auto"/>
        <w:ind w:left="720" w:hanging="36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2022 UDS Tables (PDF)</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D">
      <w:pPr>
        <w:numPr>
          <w:ilvl w:val="0"/>
          <w:numId w:val="7"/>
        </w:numPr>
        <w:ind w:left="720" w:hanging="360"/>
        <w:rPr>
          <w:rFonts w:ascii="Calibri" w:cs="Calibri" w:eastAsia="Calibri" w:hAnsi="Calibri"/>
          <w:i w:val="1"/>
        </w:rPr>
      </w:pPr>
      <w:hyperlink r:id="rId13">
        <w:r w:rsidDel="00000000" w:rsidR="00000000" w:rsidRPr="00000000">
          <w:rPr>
            <w:rFonts w:ascii="Calibri" w:cs="Calibri" w:eastAsia="Calibri" w:hAnsi="Calibri"/>
            <w:color w:val="1155cc"/>
            <w:u w:val="single"/>
            <w:rtl w:val="0"/>
          </w:rPr>
          <w:t xml:space="preserve">Health Center Changes and UDS Reporting FAQ</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This addresses questions about health center changes such as a new health center award or designation, new services or sites, or health center organizational changes.</w:t>
      </w:r>
    </w:p>
    <w:p w:rsidR="00000000" w:rsidDel="00000000" w:rsidP="00000000" w:rsidRDefault="00000000" w:rsidRPr="00000000" w14:paraId="0000001E">
      <w:pPr>
        <w:rPr>
          <w:rFonts w:ascii="Calibri" w:cs="Calibri" w:eastAsia="Calibri" w:hAnsi="Calibri"/>
          <w:b w:val="1"/>
        </w:rPr>
      </w:pPr>
      <w:hyperlink r:id="rId14">
        <w:r w:rsidDel="00000000" w:rsidR="00000000" w:rsidRPr="00000000">
          <w:rPr>
            <w:rFonts w:ascii="Calibri" w:cs="Calibri" w:eastAsia="Calibri" w:hAnsi="Calibri"/>
            <w:b w:val="1"/>
            <w:color w:val="1155cc"/>
            <w:u w:val="single"/>
            <w:rtl w:val="0"/>
          </w:rPr>
          <w:t xml:space="preserve">Staffing and Utilization Page</w:t>
        </w:r>
      </w:hyperlink>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Counting UDS Visits Guidance</w:t>
        </w:r>
      </w:hyperlink>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Nurse Visit Guidance</w:t>
        </w:r>
      </w:hyperlink>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Virtual Visits Guide</w:t>
        </w:r>
      </w:hyperlink>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Mental Health and Substance Use Disorder Addendum</w:t>
        </w:r>
      </w:hyperlink>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hyperlink r:id="rId19">
        <w:r w:rsidDel="00000000" w:rsidR="00000000" w:rsidRPr="00000000">
          <w:rPr>
            <w:rFonts w:ascii="Calibri" w:cs="Calibri" w:eastAsia="Calibri" w:hAnsi="Calibri"/>
            <w:b w:val="1"/>
            <w:color w:val="1155cc"/>
            <w:u w:val="single"/>
            <w:rtl w:val="0"/>
          </w:rPr>
          <w:t xml:space="preserve">Clinical Care Page</w:t>
        </w:r>
      </w:hyperlink>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Table 6A Code Changes</w:t>
        </w:r>
      </w:hyperlink>
      <w:r w:rsidDel="00000000" w:rsidR="00000000" w:rsidRPr="00000000">
        <w:rPr>
          <w:rtl w:val="0"/>
        </w:rPr>
      </w:r>
    </w:p>
    <w:p w:rsidR="00000000" w:rsidDel="00000000" w:rsidP="00000000" w:rsidRDefault="00000000" w:rsidRPr="00000000" w14:paraId="00000025">
      <w:pPr>
        <w:numPr>
          <w:ilvl w:val="0"/>
          <w:numId w:val="6"/>
        </w:numPr>
        <w:spacing w:after="0" w:lineRule="auto"/>
        <w:ind w:left="720" w:hanging="36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Helpful Codes for HIV and PrEP Measures</w:t>
        </w:r>
      </w:hyperlink>
      <w:r w:rsidDel="00000000" w:rsidR="00000000" w:rsidRPr="00000000">
        <w:rPr>
          <w:rtl w:val="0"/>
        </w:rPr>
      </w:r>
    </w:p>
    <w:p w:rsidR="00000000" w:rsidDel="00000000" w:rsidP="00000000" w:rsidRDefault="00000000" w:rsidRPr="00000000" w14:paraId="00000026">
      <w:pPr>
        <w:numPr>
          <w:ilvl w:val="0"/>
          <w:numId w:val="6"/>
        </w:numPr>
        <w:spacing w:after="0" w:lineRule="auto"/>
        <w:ind w:left="720" w:hanging="36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2022 Clinical Measures Descriptions Handout</w:t>
        </w:r>
      </w:hyperlink>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Telehealth Impact on Clinical Measures Reporting</w:t>
        </w:r>
      </w:hyperlink>
      <w:r w:rsidDel="00000000" w:rsidR="00000000" w:rsidRPr="00000000">
        <w:rPr>
          <w:rtl w:val="0"/>
        </w:rPr>
      </w:r>
    </w:p>
    <w:p w:rsidR="00000000" w:rsidDel="00000000" w:rsidP="00000000" w:rsidRDefault="00000000" w:rsidRPr="00000000" w14:paraId="00000028">
      <w:pPr>
        <w:numPr>
          <w:ilvl w:val="0"/>
          <w:numId w:val="6"/>
        </w:numPr>
        <w:spacing w:after="0" w:lineRule="auto"/>
        <w:ind w:left="720" w:hanging="36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UDS Clinical Measures Exclusions and Exceptions</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b w:val="1"/>
          <w:sz w:val="24"/>
          <w:szCs w:val="24"/>
        </w:rPr>
      </w:pPr>
      <w:hyperlink r:id="rId25">
        <w:r w:rsidDel="00000000" w:rsidR="00000000" w:rsidRPr="00000000">
          <w:rPr>
            <w:rFonts w:ascii="Calibri" w:cs="Calibri" w:eastAsia="Calibri" w:hAnsi="Calibri"/>
            <w:b w:val="1"/>
            <w:color w:val="1155cc"/>
            <w:sz w:val="24"/>
            <w:szCs w:val="24"/>
            <w:u w:val="single"/>
            <w:rtl w:val="0"/>
          </w:rPr>
          <w:t xml:space="preserve">Financials Page</w:t>
        </w:r>
      </w:hyperlink>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Financial Tables Reporting Considerations</w:t>
        </w:r>
      </w:hyperlink>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COVID-19 Funding UDS Reporting Guidance</w:t>
        </w:r>
      </w:hyperlink>
      <w:r w:rsidDel="00000000" w:rsidR="00000000" w:rsidRPr="00000000">
        <w:rPr>
          <w:rtl w:val="0"/>
        </w:rPr>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Reporting Donations</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rPr>
      </w:pPr>
      <w:bookmarkStart w:colFirst="0" w:colLast="0" w:name="_heading=h.ogofxyldj2ib" w:id="0"/>
      <w:bookmarkEnd w:id="0"/>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b w:val="1"/>
          <w:sz w:val="24"/>
          <w:szCs w:val="24"/>
        </w:rPr>
      </w:pPr>
      <w:bookmarkStart w:colFirst="0" w:colLast="0" w:name="_heading=h.hxsqqodu5e6n" w:id="1"/>
      <w:bookmarkEnd w:id="1"/>
      <w:hyperlink r:id="rId29">
        <w:r w:rsidDel="00000000" w:rsidR="00000000" w:rsidRPr="00000000">
          <w:rPr>
            <w:rFonts w:ascii="Calibri" w:cs="Calibri" w:eastAsia="Calibri" w:hAnsi="Calibri"/>
            <w:b w:val="1"/>
            <w:color w:val="1155cc"/>
            <w:sz w:val="24"/>
            <w:szCs w:val="24"/>
            <w:u w:val="single"/>
            <w:rtl w:val="0"/>
          </w:rPr>
          <w:t xml:space="preserve">Additional Reporting Topics Page</w:t>
        </w:r>
      </w:hyperlink>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Crosswalk of Standardized Social Risk Factor Screeners</w:t>
        </w:r>
      </w:hyperlink>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Outreach and Enrollment Assists Reporting</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6599"/>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32"/>
          <w:szCs w:val="32"/>
        </w:rPr>
      </w:pPr>
      <w:r w:rsidDel="00000000" w:rsidR="00000000" w:rsidRPr="00000000">
        <w:rPr>
          <w:rFonts w:ascii="Calibri" w:cs="Calibri" w:eastAsia="Calibri" w:hAnsi="Calibri"/>
          <w:b w:val="1"/>
          <w:color w:val="006599"/>
          <w:sz w:val="28"/>
          <w:szCs w:val="28"/>
          <w:rtl w:val="0"/>
        </w:rPr>
        <w:t xml:space="preserve">System Resources</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before="20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User Guide for Accessing the UDS in EHBs*</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Checklist for UDS Submission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6599"/>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32"/>
          <w:szCs w:val="32"/>
        </w:rPr>
      </w:pPr>
      <w:r w:rsidDel="00000000" w:rsidR="00000000" w:rsidRPr="00000000">
        <w:rPr>
          <w:rFonts w:ascii="Calibri" w:cs="Calibri" w:eastAsia="Calibri" w:hAnsi="Calibri"/>
          <w:b w:val="1"/>
          <w:color w:val="006599"/>
          <w:sz w:val="28"/>
          <w:szCs w:val="28"/>
          <w:rtl w:val="0"/>
        </w:rPr>
        <w:t xml:space="preserve">Data Resources</w:t>
      </w:r>
      <w:r w:rsidDel="00000000" w:rsidR="00000000" w:rsidRPr="00000000">
        <w:rPr>
          <w:rtl w:val="0"/>
        </w:rPr>
      </w:r>
    </w:p>
    <w:p w:rsidR="00000000" w:rsidDel="00000000" w:rsidP="00000000" w:rsidRDefault="00000000" w:rsidRPr="00000000" w14:paraId="00000038">
      <w:pPr>
        <w:numPr>
          <w:ilvl w:val="0"/>
          <w:numId w:val="3"/>
        </w:numPr>
        <w:spacing w:after="0" w:lineRule="auto"/>
        <w:ind w:left="720" w:hanging="360"/>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2021 State Performance Indicators Statistics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numPr>
          <w:ilvl w:val="1"/>
          <w:numId w:val="3"/>
        </w:numPr>
        <w:spacing w:after="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Comparison statistics of patient profile, quality of care, and service delivery indicators using 2021 UDS data, presented by state. </w:t>
      </w:r>
      <w:r w:rsidDel="00000000" w:rsidR="00000000" w:rsidRPr="00000000">
        <w:rPr>
          <w:rtl w:val="0"/>
        </w:rPr>
      </w:r>
    </w:p>
    <w:p w:rsidR="00000000" w:rsidDel="00000000" w:rsidP="00000000" w:rsidRDefault="00000000" w:rsidRPr="00000000" w14:paraId="0000003A">
      <w:pPr>
        <w:numPr>
          <w:ilvl w:val="0"/>
          <w:numId w:val="3"/>
        </w:numPr>
        <w:spacing w:after="0" w:lineRule="auto"/>
        <w:ind w:left="720" w:hanging="360"/>
        <w:rPr>
          <w:rFonts w:ascii="Calibri" w:cs="Calibri" w:eastAsia="Calibri" w:hAnsi="Calibri"/>
        </w:rPr>
      </w:pPr>
      <w:hyperlink r:id="rId34">
        <w:r w:rsidDel="00000000" w:rsidR="00000000" w:rsidRPr="00000000">
          <w:rPr>
            <w:rFonts w:ascii="Calibri" w:cs="Calibri" w:eastAsia="Calibri" w:hAnsi="Calibri"/>
            <w:color w:val="0000ff"/>
            <w:u w:val="single"/>
            <w:rtl w:val="0"/>
          </w:rPr>
          <w:t xml:space="preserve">330 UDS 2021 Roll-Ups National Universal</w:t>
        </w:r>
      </w:hyperlink>
      <w:r w:rsidDel="00000000" w:rsidR="00000000" w:rsidRPr="00000000">
        <w:rPr>
          <w:rtl w:val="0"/>
        </w:rPr>
      </w:r>
    </w:p>
    <w:p w:rsidR="00000000" w:rsidDel="00000000" w:rsidP="00000000" w:rsidRDefault="00000000" w:rsidRPr="00000000" w14:paraId="0000003B">
      <w:pPr>
        <w:numPr>
          <w:ilvl w:val="0"/>
          <w:numId w:val="3"/>
        </w:numPr>
        <w:spacing w:after="0" w:lineRule="auto"/>
        <w:ind w:left="720" w:hanging="360"/>
        <w:rPr>
          <w:rFonts w:ascii="Calibri" w:cs="Calibri" w:eastAsia="Calibri" w:hAnsi="Calibri"/>
        </w:rPr>
      </w:pPr>
      <w:hyperlink r:id="rId35">
        <w:r w:rsidDel="00000000" w:rsidR="00000000" w:rsidRPr="00000000">
          <w:rPr>
            <w:rFonts w:ascii="Calibri" w:cs="Calibri" w:eastAsia="Calibri" w:hAnsi="Calibri"/>
            <w:color w:val="0000ff"/>
            <w:u w:val="single"/>
            <w:rtl w:val="0"/>
          </w:rPr>
          <w:t xml:space="preserve">Look-Alike (LAL) 2021 Roll-Ups National Universal</w:t>
        </w:r>
      </w:hyperlink>
      <w:r w:rsidDel="00000000" w:rsidR="00000000" w:rsidRPr="00000000">
        <w:rPr>
          <w:rtl w:val="0"/>
        </w:rPr>
      </w:r>
    </w:p>
    <w:p w:rsidR="00000000" w:rsidDel="00000000" w:rsidP="00000000" w:rsidRDefault="00000000" w:rsidRPr="00000000" w14:paraId="0000003C">
      <w:pPr>
        <w:numPr>
          <w:ilvl w:val="1"/>
          <w:numId w:val="3"/>
        </w:numPr>
        <w:spacing w:after="0" w:lineRule="auto"/>
        <w:ind w:left="1440" w:hanging="360"/>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Your own UDS 2021 state universal roll-up </w:t>
        </w:r>
      </w:hyperlink>
      <w:r w:rsidDel="00000000" w:rsidR="00000000" w:rsidRPr="00000000">
        <w:rPr>
          <w:rFonts w:ascii="Calibri" w:cs="Calibri" w:eastAsia="Calibri" w:hAnsi="Calibri"/>
          <w:rtl w:val="0"/>
        </w:rPr>
        <w:t xml:space="preserve">-- select the program type and your state</w:t>
      </w:r>
      <w:r w:rsidDel="00000000" w:rsidR="00000000" w:rsidRPr="00000000">
        <w:rPr>
          <w:rtl w:val="0"/>
        </w:rPr>
      </w:r>
    </w:p>
    <w:p w:rsidR="00000000" w:rsidDel="00000000" w:rsidP="00000000" w:rsidRDefault="00000000" w:rsidRPr="00000000" w14:paraId="0000003D">
      <w:pPr>
        <w:numPr>
          <w:ilvl w:val="0"/>
          <w:numId w:val="3"/>
        </w:numPr>
        <w:spacing w:after="0" w:lineRule="auto"/>
        <w:ind w:left="720" w:hanging="360"/>
        <w:rPr>
          <w:rFonts w:ascii="Calibri" w:cs="Calibri" w:eastAsia="Calibri" w:hAnsi="Calibri"/>
        </w:rPr>
      </w:pPr>
      <w:bookmarkStart w:colFirst="0" w:colLast="0" w:name="_heading=h.gjdgxs" w:id="2"/>
      <w:bookmarkEnd w:id="2"/>
      <w:r w:rsidDel="00000000" w:rsidR="00000000" w:rsidRPr="00000000">
        <w:rPr>
          <w:rFonts w:ascii="Calibri" w:cs="Calibri" w:eastAsia="Calibri" w:hAnsi="Calibri"/>
          <w:rtl w:val="0"/>
        </w:rPr>
        <w:t xml:space="preserve">BHW 2021 Roll-Ups National Universal*</w:t>
      </w:r>
    </w:p>
    <w:p w:rsidR="00000000" w:rsidDel="00000000" w:rsidP="00000000" w:rsidRDefault="00000000" w:rsidRPr="00000000" w14:paraId="0000003E">
      <w:pPr>
        <w:numPr>
          <w:ilvl w:val="1"/>
          <w:numId w:val="3"/>
        </w:numPr>
        <w:spacing w:after="0" w:lineRule="auto"/>
        <w:ind w:left="1440" w:hanging="360"/>
        <w:rPr>
          <w:rFonts w:ascii="Calibri" w:cs="Calibri" w:eastAsia="Calibri" w:hAnsi="Calibri"/>
          <w:i w:val="1"/>
        </w:rPr>
      </w:pPr>
      <w:bookmarkStart w:colFirst="0" w:colLast="0" w:name="_heading=h.21sjh3adebij" w:id="3"/>
      <w:bookmarkEnd w:id="3"/>
      <w:r w:rsidDel="00000000" w:rsidR="00000000" w:rsidRPr="00000000">
        <w:rPr>
          <w:rFonts w:ascii="Calibri" w:cs="Calibri" w:eastAsia="Calibri" w:hAnsi="Calibri"/>
          <w:i w:val="1"/>
          <w:rtl w:val="0"/>
        </w:rPr>
        <w:t xml:space="preserve">The roll-up each have the aggregated 2021 UDS data for the specified program. </w:t>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tl w:val="0"/>
        </w:rPr>
      </w:r>
    </w:p>
    <w:sectPr>
      <w:headerReference r:id="rId37" w:type="default"/>
      <w:footerReference r:id="rId38" w:type="default"/>
      <w:pgSz w:h="15840" w:w="12240" w:orient="portrait"/>
      <w:pgMar w:bottom="720" w:top="1440" w:left="1440" w:right="90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ind w:hanging="360"/>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ind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drawing>
        <wp:inline distB="0" distT="0" distL="0" distR="0">
          <wp:extent cx="6286500" cy="36957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86500" cy="3695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before="240" w:line="240" w:lineRule="auto"/>
    </w:pPr>
    <w:rPr>
      <w:color w:val="1f497d"/>
      <w:sz w:val="40"/>
      <w:szCs w:val="40"/>
    </w:rPr>
  </w:style>
  <w:style w:type="paragraph" w:styleId="Normal" w:default="1">
    <w:name w:val="Normal"/>
    <w:qFormat w:val="1"/>
    <w:rsid w:val="00976020"/>
    <w:rPr>
      <w:rFonts w:eastAsia="Calibri"/>
    </w:rPr>
  </w:style>
  <w:style w:type="paragraph" w:styleId="Heading1">
    <w:name w:val="heading 1"/>
    <w:basedOn w:val="Normal"/>
    <w:next w:val="Normal"/>
    <w:link w:val="Heading1Char"/>
    <w:uiPriority w:val="9"/>
    <w:qFormat w:val="1"/>
    <w:rsid w:val="00F84CF7"/>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85C17"/>
    <w:pPr>
      <w:spacing w:after="300" w:before="240" w:line="240" w:lineRule="auto"/>
      <w:contextualSpacing w:val="1"/>
    </w:pPr>
    <w:rPr>
      <w:rFonts w:eastAsiaTheme="majorEastAsia"/>
      <w:color w:val="1f497d" w:themeColor="text2"/>
      <w:spacing w:val="5"/>
      <w:kern w:val="28"/>
      <w:sz w:val="40"/>
      <w:szCs w:val="52"/>
    </w:rPr>
  </w:style>
  <w:style w:type="table" w:styleId="TableGrid">
    <w:name w:val="Table Grid"/>
    <w:basedOn w:val="TableNormal"/>
    <w:uiPriority w:val="39"/>
    <w:rsid w:val="005A307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uiPriority w:val="10"/>
    <w:rsid w:val="00D85C17"/>
    <w:rPr>
      <w:rFonts w:ascii="Tahoma" w:cs="Tahoma" w:hAnsi="Tahoma" w:eastAsiaTheme="majorEastAsia"/>
      <w:color w:val="1f497d" w:themeColor="text2"/>
      <w:spacing w:val="5"/>
      <w:kern w:val="28"/>
      <w:sz w:val="40"/>
      <w:szCs w:val="52"/>
    </w:rPr>
  </w:style>
  <w:style w:type="paragraph" w:styleId="BalloonText">
    <w:name w:val="Balloon Text"/>
    <w:basedOn w:val="Normal"/>
    <w:link w:val="BalloonTextChar"/>
    <w:uiPriority w:val="99"/>
    <w:semiHidden w:val="1"/>
    <w:unhideWhenUsed w:val="1"/>
    <w:rsid w:val="008D3D6A"/>
    <w:pPr>
      <w:spacing w:after="0" w:line="240" w:lineRule="auto"/>
    </w:pPr>
    <w:rPr>
      <w:sz w:val="16"/>
      <w:szCs w:val="16"/>
    </w:rPr>
  </w:style>
  <w:style w:type="character" w:styleId="BalloonTextChar" w:customStyle="1">
    <w:name w:val="Balloon Text Char"/>
    <w:basedOn w:val="DefaultParagraphFont"/>
    <w:link w:val="BalloonText"/>
    <w:uiPriority w:val="99"/>
    <w:semiHidden w:val="1"/>
    <w:rsid w:val="008D3D6A"/>
    <w:rPr>
      <w:rFonts w:ascii="Tahoma" w:cs="Tahoma" w:eastAsia="Calibri" w:hAnsi="Tahoma"/>
      <w:sz w:val="16"/>
      <w:szCs w:val="16"/>
    </w:rPr>
  </w:style>
  <w:style w:type="paragraph" w:styleId="Header">
    <w:name w:val="header"/>
    <w:basedOn w:val="Normal"/>
    <w:link w:val="HeaderChar"/>
    <w:uiPriority w:val="99"/>
    <w:unhideWhenUsed w:val="1"/>
    <w:rsid w:val="00D85C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5C17"/>
    <w:rPr>
      <w:rFonts w:ascii="Calibri" w:cs="Times New Roman" w:eastAsia="Calibri" w:hAnsi="Calibri"/>
    </w:rPr>
  </w:style>
  <w:style w:type="paragraph" w:styleId="Footer">
    <w:name w:val="footer"/>
    <w:basedOn w:val="Normal"/>
    <w:link w:val="FooterChar"/>
    <w:uiPriority w:val="99"/>
    <w:unhideWhenUsed w:val="1"/>
    <w:rsid w:val="00D85C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5C17"/>
    <w:rPr>
      <w:rFonts w:ascii="Calibri" w:cs="Times New Roman" w:eastAsia="Calibri" w:hAnsi="Calibri"/>
    </w:rPr>
  </w:style>
  <w:style w:type="paragraph" w:styleId="ListParagraph">
    <w:name w:val="List Paragraph"/>
    <w:basedOn w:val="Normal"/>
    <w:uiPriority w:val="34"/>
    <w:qFormat w:val="1"/>
    <w:rsid w:val="00D85C17"/>
    <w:pPr>
      <w:ind w:left="720"/>
      <w:contextualSpacing w:val="1"/>
    </w:pPr>
  </w:style>
  <w:style w:type="table" w:styleId="LightShading-Accent1">
    <w:name w:val="Light Shading Accent 1"/>
    <w:basedOn w:val="TableNormal"/>
    <w:uiPriority w:val="60"/>
    <w:rsid w:val="00500B35"/>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CommentReference">
    <w:name w:val="annotation reference"/>
    <w:basedOn w:val="DefaultParagraphFont"/>
    <w:uiPriority w:val="99"/>
    <w:semiHidden w:val="1"/>
    <w:unhideWhenUsed w:val="1"/>
    <w:rsid w:val="0027289A"/>
    <w:rPr>
      <w:sz w:val="16"/>
      <w:szCs w:val="16"/>
    </w:rPr>
  </w:style>
  <w:style w:type="paragraph" w:styleId="CommentText">
    <w:name w:val="annotation text"/>
    <w:basedOn w:val="Normal"/>
    <w:link w:val="CommentTextChar"/>
    <w:uiPriority w:val="99"/>
    <w:semiHidden w:val="1"/>
    <w:unhideWhenUsed w:val="1"/>
    <w:rsid w:val="0027289A"/>
    <w:pPr>
      <w:spacing w:line="240" w:lineRule="auto"/>
    </w:pPr>
    <w:rPr>
      <w:sz w:val="20"/>
      <w:szCs w:val="20"/>
    </w:rPr>
  </w:style>
  <w:style w:type="character" w:styleId="CommentTextChar" w:customStyle="1">
    <w:name w:val="Comment Text Char"/>
    <w:basedOn w:val="DefaultParagraphFont"/>
    <w:link w:val="CommentText"/>
    <w:uiPriority w:val="99"/>
    <w:semiHidden w:val="1"/>
    <w:rsid w:val="0027289A"/>
    <w:rPr>
      <w:rFonts w:ascii="Tahoma" w:cs="Tahoma" w:eastAsia="Calibri" w:hAnsi="Tahoma"/>
      <w:sz w:val="20"/>
      <w:szCs w:val="20"/>
    </w:rPr>
  </w:style>
  <w:style w:type="paragraph" w:styleId="CommentSubject">
    <w:name w:val="annotation subject"/>
    <w:basedOn w:val="CommentText"/>
    <w:next w:val="CommentText"/>
    <w:link w:val="CommentSubjectChar"/>
    <w:uiPriority w:val="99"/>
    <w:semiHidden w:val="1"/>
    <w:unhideWhenUsed w:val="1"/>
    <w:rsid w:val="0027289A"/>
    <w:rPr>
      <w:b w:val="1"/>
      <w:bCs w:val="1"/>
    </w:rPr>
  </w:style>
  <w:style w:type="character" w:styleId="CommentSubjectChar" w:customStyle="1">
    <w:name w:val="Comment Subject Char"/>
    <w:basedOn w:val="CommentTextChar"/>
    <w:link w:val="CommentSubject"/>
    <w:uiPriority w:val="99"/>
    <w:semiHidden w:val="1"/>
    <w:rsid w:val="0027289A"/>
    <w:rPr>
      <w:rFonts w:ascii="Tahoma" w:cs="Tahoma" w:eastAsia="Calibri" w:hAnsi="Tahoma"/>
      <w:b w:val="1"/>
      <w:bCs w:val="1"/>
      <w:sz w:val="20"/>
      <w:szCs w:val="20"/>
    </w:rPr>
  </w:style>
  <w:style w:type="paragraph" w:styleId="Revision">
    <w:name w:val="Revision"/>
    <w:hidden w:val="1"/>
    <w:uiPriority w:val="99"/>
    <w:semiHidden w:val="1"/>
    <w:rsid w:val="0027289A"/>
    <w:pPr>
      <w:spacing w:after="0" w:line="240" w:lineRule="auto"/>
    </w:pPr>
    <w:rPr>
      <w:rFonts w:eastAsia="Calibri"/>
    </w:rPr>
  </w:style>
  <w:style w:type="paragraph" w:styleId="NormalWeb">
    <w:name w:val="Normal (Web)"/>
    <w:basedOn w:val="Normal"/>
    <w:uiPriority w:val="99"/>
    <w:unhideWhenUsed w:val="1"/>
    <w:rsid w:val="00707973"/>
    <w:pPr>
      <w:spacing w:after="100" w:afterAutospacing="1" w:before="100" w:beforeAutospacing="1" w:line="240" w:lineRule="auto"/>
    </w:pPr>
    <w:rPr>
      <w:rFonts w:ascii="Times New Roman" w:cs="Times New Roman" w:eastAsia="Times New Roman" w:hAnsi="Times New Roman"/>
      <w:sz w:val="24"/>
      <w:szCs w:val="24"/>
    </w:rPr>
  </w:style>
  <w:style w:type="paragraph" w:styleId="m8468541112104952885gdp" w:customStyle="1">
    <w:name w:val="m_8468541112104952885gd_p"/>
    <w:basedOn w:val="Normal"/>
    <w:rsid w:val="00F243AF"/>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F243AF"/>
    <w:rPr>
      <w:color w:val="0000ff"/>
      <w:u w:val="single"/>
    </w:rPr>
  </w:style>
  <w:style w:type="character" w:styleId="Heading1Char" w:customStyle="1">
    <w:name w:val="Heading 1 Char"/>
    <w:basedOn w:val="DefaultParagraphFont"/>
    <w:link w:val="Heading1"/>
    <w:uiPriority w:val="9"/>
    <w:rsid w:val="00F84CF7"/>
    <w:rPr>
      <w:rFonts w:asciiTheme="majorHAnsi" w:cstheme="majorBidi" w:eastAsiaTheme="majorEastAsia" w:hAnsiTheme="majorHAnsi"/>
      <w:color w:val="365f91" w:themeColor="accent1" w:themeShade="0000BF"/>
      <w:sz w:val="32"/>
      <w:szCs w:val="32"/>
    </w:rPr>
  </w:style>
  <w:style w:type="paragraph" w:styleId="TOCHeading">
    <w:name w:val="TOC Heading"/>
    <w:basedOn w:val="Heading1"/>
    <w:next w:val="Normal"/>
    <w:uiPriority w:val="39"/>
    <w:unhideWhenUsed w:val="1"/>
    <w:qFormat w:val="1"/>
    <w:rsid w:val="00F84CF7"/>
    <w:pPr>
      <w:spacing w:line="259" w:lineRule="auto"/>
      <w:outlineLvl w:val="9"/>
    </w:pPr>
  </w:style>
  <w:style w:type="paragraph" w:styleId="Default" w:customStyle="1">
    <w:name w:val="Default"/>
    <w:rsid w:val="00F84CF7"/>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bphc.hrsa.gov/sites/default/files/bphc/data-reporting/2022-uds-table-6a-code-changes.pdf" TargetMode="External"/><Relationship Id="rId22" Type="http://schemas.openxmlformats.org/officeDocument/2006/relationships/hyperlink" Target="https://bphc.hrsa.gov/sites/default/files/bphc/data-reporting/clinical-measures-handout.pdf" TargetMode="External"/><Relationship Id="rId21" Type="http://schemas.openxmlformats.org/officeDocument/2006/relationships/hyperlink" Target="https://bphc.hrsa.gov/sites/default/files/bphc/data-reporting/hiv-prep-codes.pdf" TargetMode="External"/><Relationship Id="rId24" Type="http://schemas.openxmlformats.org/officeDocument/2006/relationships/hyperlink" Target="https://bphc.hrsa.gov/sites/default/files/bphc/data-reporting/uds-clinical-measures-exclusions-exceptions.pdf" TargetMode="External"/><Relationship Id="rId23" Type="http://schemas.openxmlformats.org/officeDocument/2006/relationships/hyperlink" Target="https://bphc.hrsa.gov/sites/default/files/bphc/data-reporting/telehealth-impact-ud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dcap.link/2022Evaluation" TargetMode="External"/><Relationship Id="rId26" Type="http://schemas.openxmlformats.org/officeDocument/2006/relationships/hyperlink" Target="https://bphc.hrsa.gov/sites/default/files/bphc/data-reporting/uds-financial-tables-guidance.pdf" TargetMode="External"/><Relationship Id="rId25" Type="http://schemas.openxmlformats.org/officeDocument/2006/relationships/hyperlink" Target="https://bphc.hrsa.gov/data-reporting/uds-training-and-technical-assistance/financials" TargetMode="External"/><Relationship Id="rId28" Type="http://schemas.openxmlformats.org/officeDocument/2006/relationships/hyperlink" Target="https://bphc.hrsa.gov/sites/default/files/bphc/data-reporting/donations-reporting-uds.pdf" TargetMode="External"/><Relationship Id="rId27" Type="http://schemas.openxmlformats.org/officeDocument/2006/relationships/hyperlink" Target="https://bphc.hrsa.gov/sites/default/files/bphc/datareporting/reporting/uds-covid-19-funding-guidance.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bphc.hrsa.gov/data-reporting/uds-training-and-technical-assistance/additional-reporting-topics" TargetMode="External"/><Relationship Id="rId7" Type="http://schemas.openxmlformats.org/officeDocument/2006/relationships/hyperlink" Target="https://bphc.hrsa.gov/data-reporting/uds-training-and-technical-assistance" TargetMode="External"/><Relationship Id="rId8" Type="http://schemas.openxmlformats.org/officeDocument/2006/relationships/hyperlink" Target="https://bphc.hrsa.gov/sites/default/files/bphc/data-reporting/2022-uds-manual.pdf#page=201" TargetMode="External"/><Relationship Id="rId31" Type="http://schemas.openxmlformats.org/officeDocument/2006/relationships/hyperlink" Target="https://bphc.hrsa.gov/data-reporting/uniform-data-system-uds-resources/uds-novel-coronavirus-disease-covid-19-reporting/outreach-enrollment-assists-reporting" TargetMode="External"/><Relationship Id="rId30" Type="http://schemas.openxmlformats.org/officeDocument/2006/relationships/hyperlink" Target="https://bphc.hrsa.gov/sites/default/files/bphc/data-reporting/uds-crosswalk-standardized-screeners.pdf" TargetMode="External"/><Relationship Id="rId11" Type="http://schemas.openxmlformats.org/officeDocument/2006/relationships/hyperlink" Target="https://bphc.hrsa.gov/sites/default/files/bphc/data-reporting/2022-uds-manual.pdf" TargetMode="External"/><Relationship Id="rId33" Type="http://schemas.openxmlformats.org/officeDocument/2006/relationships/hyperlink" Target="https://www.google.com/url?q=https://bphc.hrsa.gov/sites/default/files/bphc/data-reporting/2021udsstateperformanceindicators.pdf&amp;sa=D&amp;source=docs&amp;ust=1664833295768489&amp;usg=AOvVaw0caEORPpY6kj4feAUWd2KD" TargetMode="External"/><Relationship Id="rId10" Type="http://schemas.openxmlformats.org/officeDocument/2006/relationships/hyperlink" Target="https://redcap.link/2022Evaluation" TargetMode="External"/><Relationship Id="rId32" Type="http://schemas.openxmlformats.org/officeDocument/2006/relationships/hyperlink" Target="https://bphc.hrsa.gov/sites/default/files/bphc/data-reporting/uds-submission-checklist.pdf" TargetMode="External"/><Relationship Id="rId13" Type="http://schemas.openxmlformats.org/officeDocument/2006/relationships/hyperlink" Target="https://bphc.hrsa.gov/sites/default/files/bphc/data-reporting/health-center-changes-uds-reporting-faq.pdf" TargetMode="External"/><Relationship Id="rId35" Type="http://schemas.openxmlformats.org/officeDocument/2006/relationships/hyperlink" Target="https://data.hrsa.gov/tools/data-reporting/program-data/national-lookalikes" TargetMode="External"/><Relationship Id="rId12" Type="http://schemas.openxmlformats.org/officeDocument/2006/relationships/hyperlink" Target="https://bphc.hrsa.gov/sites/default/files/bphc/data-reporting/2022-uds-tables.pdf" TargetMode="External"/><Relationship Id="rId34" Type="http://schemas.openxmlformats.org/officeDocument/2006/relationships/hyperlink" Target="https://data.hrsa.gov/tools/data-reporting/program-data/national" TargetMode="External"/><Relationship Id="rId15" Type="http://schemas.openxmlformats.org/officeDocument/2006/relationships/hyperlink" Target="https://bphc.hrsa.gov/sites/default/files/bphc/data-reporting/uds-countable-visits.pdf" TargetMode="External"/><Relationship Id="rId37" Type="http://schemas.openxmlformats.org/officeDocument/2006/relationships/header" Target="header1.xml"/><Relationship Id="rId14" Type="http://schemas.openxmlformats.org/officeDocument/2006/relationships/hyperlink" Target="https://www.google.com/url?q=https://bphc.hrsa.gov/data-reporting/uds-training-and-technical-assistance/staffing-utilization&amp;sa=D&amp;source=docs&amp;ust=1664809480726179&amp;usg=AOvVaw229-mNf-zz6lyeTtVLcVh5" TargetMode="External"/><Relationship Id="rId36" Type="http://schemas.openxmlformats.org/officeDocument/2006/relationships/hyperlink" Target="https://data.hrsa.gov/tools/data-reporting/program-data" TargetMode="External"/><Relationship Id="rId17" Type="http://schemas.openxmlformats.org/officeDocument/2006/relationships/hyperlink" Target="https://bphc.hrsa.gov/sites/default/files/bphc/data-reporting/uds-virtual-visit-reporting-guide.pdf" TargetMode="External"/><Relationship Id="rId16" Type="http://schemas.openxmlformats.org/officeDocument/2006/relationships/hyperlink" Target="https://bphc.hrsa.gov/sites/default/files/bphc/data-reporting/uds-nurse-visits.pdf" TargetMode="External"/><Relationship Id="rId38" Type="http://schemas.openxmlformats.org/officeDocument/2006/relationships/footer" Target="footer1.xml"/><Relationship Id="rId19" Type="http://schemas.openxmlformats.org/officeDocument/2006/relationships/hyperlink" Target="https://bphc.hrsa.gov/data-reporting/uds-training-and-technical-assistance/clinical-care" TargetMode="External"/><Relationship Id="rId18" Type="http://schemas.openxmlformats.org/officeDocument/2006/relationships/hyperlink" Target="https://bphc.hrsa.gov/sites/default/files/bphc/data-reporting/uds-selected-service-detail-guidan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GUlD1kD26ufUMw08RskeYtahA==">AMUW2mVYNU4HQU6jAk1yFlz9LFZXytIh2cpxNxCtax555oe7PoInJmLiNqCaQJyMbHWDeH02aCamYR3yLSfdbjUbbGisz9R35aeT/Yx1jkgDFqf70y4uWkCubn1wQ8FBdbvratHvUUErx1v2zpziInWBQ+TxiwLFf5Jf3alhLVbFu+UWmIm0G+sCZhXNk5xDNvpsh96R4fXYWM7NP2J4/84q2A5Xx1yD/tfGnP30kMcIk5lx3FBntJ1xF8PmckVEmCHkkbHtrPlsvoaPjC/c3wFcG1am2nRJTi2UnMqvpZ7R+uXL+iR6Q/fXBmc4PWc/575ZOg16YVO7068UisL0/3AuIR8pN81TgC1yG8ZWSjZitUG/VpoV9bLe/vawSjHktcmdFOQzEDJU7D/ue/ZdlZ2wYVtSD6EiU1YVwEEWto5b/ZjhMdxZ5Amp9whMVqLvU2yoD5v6aFcXTOZ76J06zmMMugjVsd+WCxJkTiQL5slHJbkg1KsfNgoFGIjXNMIn7w4tX19YHmWCevKpliJmIrCnTdVWd9c61mnd852jby3ZcmGu3J7fM+6VRPxn+qsqq1tsA01UoHgYJe90bikDBbubCLxuEO+34Y817cXkjQUS84udY2Mkj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2021-09-24T22:23:00Z</dcterms:created>
  <dc:creator>Michelle Vatalaro</dc:creator>
</cp:coreProperties>
</file>